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right="883.937007874016"/>
        <w:rPr>
          <w:sz w:val="50"/>
          <w:szCs w:val="50"/>
        </w:rPr>
      </w:pPr>
      <w:bookmarkStart w:colFirst="0" w:colLast="0" w:name="_sqt6ikc6rkgf" w:id="0"/>
      <w:bookmarkEnd w:id="0"/>
      <w:r w:rsidDel="00000000" w:rsidR="00000000" w:rsidRPr="00000000">
        <w:rPr>
          <w:sz w:val="50"/>
          <w:szCs w:val="50"/>
          <w:rtl w:val="0"/>
        </w:rPr>
        <w:t xml:space="preserve">Easier Login with Visma Connect</w:t>
      </w:r>
    </w:p>
    <w:p w:rsidR="00000000" w:rsidDel="00000000" w:rsidP="00000000" w:rsidRDefault="00000000" w:rsidRPr="00000000" w14:paraId="00000002">
      <w:pPr>
        <w:spacing w:after="240" w:before="240" w:line="276" w:lineRule="auto"/>
        <w:rPr/>
      </w:pPr>
      <w:r w:rsidDel="00000000" w:rsidR="00000000" w:rsidRPr="00000000">
        <w:rPr>
          <w:rtl w:val="0"/>
        </w:rPr>
        <w:t xml:space="preserve">Visma Connect IdP </w:t>
      </w:r>
      <w:r w:rsidDel="00000000" w:rsidR="00000000" w:rsidRPr="00000000">
        <w:rPr>
          <w:rtl w:val="0"/>
        </w:rPr>
        <w:t xml:space="preserve">makes logging in to all Visma systems easy and secure through a single sign-on (SSO) experience. The service works seamlessly across web, mobile, and other applications, connecting both on-premises and cloud-based solutions.</w:t>
      </w:r>
    </w:p>
    <w:p w:rsidR="00000000" w:rsidDel="00000000" w:rsidP="00000000" w:rsidRDefault="00000000" w:rsidRPr="00000000" w14:paraId="00000003">
      <w:pPr>
        <w:spacing w:after="240" w:before="240" w:line="276" w:lineRule="auto"/>
        <w:rPr/>
      </w:pPr>
      <w:r w:rsidDel="00000000" w:rsidR="00000000" w:rsidRPr="00000000">
        <w:rPr>
          <w:rtl w:val="0"/>
        </w:rPr>
        <w:t xml:space="preserve">To prote</w:t>
      </w:r>
      <w:r w:rsidDel="00000000" w:rsidR="00000000" w:rsidRPr="00000000">
        <w:rPr>
          <w:rtl w:val="0"/>
        </w:rPr>
        <w:t xml:space="preserve">ct login credentials and sensitive data, Visma Connect leverages industry-standard protocols such as OpenID Connect 1.0, OAuth 2.0, and SAML 2.0.</w:t>
      </w:r>
      <w:r w:rsidDel="00000000" w:rsidR="00000000" w:rsidRPr="00000000">
        <w:rPr>
          <w:rtl w:val="0"/>
        </w:rPr>
        <w:t xml:space="preserve"> This ensures robust security without compromising ease of use. Additional benefits include:</w:t>
      </w:r>
    </w:p>
    <w:p w:rsidR="00000000" w:rsidDel="00000000" w:rsidP="00000000" w:rsidRDefault="00000000" w:rsidRPr="00000000" w14:paraId="00000004">
      <w:pPr>
        <w:pStyle w:val="Heading3"/>
        <w:keepNext w:val="0"/>
        <w:spacing w:after="80" w:before="280" w:line="276" w:lineRule="auto"/>
        <w:ind w:right="1450.8661417322844"/>
        <w:rPr>
          <w:rFonts w:ascii="DM Sans" w:cs="DM Sans" w:eastAsia="DM Sans" w:hAnsi="DM Sans"/>
          <w:b w:val="1"/>
          <w:color w:val="000000"/>
          <w:sz w:val="24"/>
          <w:szCs w:val="24"/>
        </w:rPr>
      </w:pPr>
      <w:bookmarkStart w:colFirst="0" w:colLast="0" w:name="_6dxuuiu0cav2" w:id="1"/>
      <w:bookmarkEnd w:id="1"/>
      <w:r w:rsidDel="00000000" w:rsidR="00000000" w:rsidRPr="00000000">
        <w:rPr>
          <w:rFonts w:ascii="DM Sans" w:cs="DM Sans" w:eastAsia="DM Sans" w:hAnsi="DM Sans"/>
          <w:b w:val="1"/>
          <w:color w:val="000000"/>
          <w:sz w:val="26"/>
          <w:szCs w:val="26"/>
          <w:rtl w:val="0"/>
        </w:rPr>
        <w:t xml:space="preserve">🔒 </w:t>
      </w:r>
      <w:r w:rsidDel="00000000" w:rsidR="00000000" w:rsidRPr="00000000">
        <w:rPr>
          <w:rFonts w:ascii="DM Sans" w:cs="DM Sans" w:eastAsia="DM Sans" w:hAnsi="DM Sans"/>
          <w:b w:val="1"/>
          <w:color w:val="000000"/>
          <w:sz w:val="24"/>
          <w:szCs w:val="24"/>
          <w:rtl w:val="0"/>
        </w:rPr>
        <w:t xml:space="preserve">Continuous Security Updates – With Zero Effort on Your Part</w:t>
      </w:r>
    </w:p>
    <w:p w:rsidR="00000000" w:rsidDel="00000000" w:rsidP="00000000" w:rsidRDefault="00000000" w:rsidRPr="00000000" w14:paraId="00000005">
      <w:pPr>
        <w:numPr>
          <w:ilvl w:val="0"/>
          <w:numId w:val="6"/>
        </w:numPr>
        <w:spacing w:after="0" w:afterAutospacing="0" w:before="240" w:line="276" w:lineRule="auto"/>
        <w:ind w:left="720" w:hanging="360"/>
        <w:rPr/>
      </w:pPr>
      <w:r w:rsidDel="00000000" w:rsidR="00000000" w:rsidRPr="00000000">
        <w:rPr>
          <w:rtl w:val="0"/>
        </w:rPr>
        <w:t xml:space="preserve">Visma Connect handles ongoing security updates automatically, keeping you protected against emerging threats without any manual intervention.</w:t>
      </w:r>
    </w:p>
    <w:p w:rsidR="00000000" w:rsidDel="00000000" w:rsidP="00000000" w:rsidRDefault="00000000" w:rsidRPr="00000000" w14:paraId="00000006">
      <w:pPr>
        <w:numPr>
          <w:ilvl w:val="0"/>
          <w:numId w:val="6"/>
        </w:numPr>
        <w:spacing w:after="240" w:before="0" w:beforeAutospacing="0" w:line="276" w:lineRule="auto"/>
        <w:ind w:left="720" w:hanging="360"/>
        <w:rPr/>
      </w:pPr>
      <w:r w:rsidDel="00000000" w:rsidR="00000000" w:rsidRPr="00000000">
        <w:rPr>
          <w:rtl w:val="0"/>
        </w:rPr>
        <w:t xml:space="preserve">The system is continuously developed to align with the latest security standards, ensuring your login processes remain resilient and up to date.</w:t>
      </w:r>
    </w:p>
    <w:p w:rsidR="00000000" w:rsidDel="00000000" w:rsidP="00000000" w:rsidRDefault="00000000" w:rsidRPr="00000000" w14:paraId="00000007">
      <w:pPr>
        <w:pStyle w:val="Heading3"/>
        <w:keepNext w:val="0"/>
        <w:spacing w:after="80" w:before="280" w:line="276" w:lineRule="auto"/>
        <w:ind w:right="1450.8661417322844"/>
        <w:rPr>
          <w:rFonts w:ascii="DM Sans" w:cs="DM Sans" w:eastAsia="DM Sans" w:hAnsi="DM Sans"/>
          <w:b w:val="1"/>
          <w:color w:val="000000"/>
          <w:sz w:val="24"/>
          <w:szCs w:val="24"/>
        </w:rPr>
      </w:pPr>
      <w:bookmarkStart w:colFirst="0" w:colLast="0" w:name="_96vb7lw4wpnf" w:id="2"/>
      <w:bookmarkEnd w:id="2"/>
      <w:r w:rsidDel="00000000" w:rsidR="00000000" w:rsidRPr="00000000">
        <w:rPr>
          <w:rFonts w:ascii="DM Sans" w:cs="DM Sans" w:eastAsia="DM Sans" w:hAnsi="DM Sans"/>
          <w:b w:val="1"/>
          <w:color w:val="000000"/>
          <w:sz w:val="26"/>
          <w:szCs w:val="26"/>
          <w:rtl w:val="0"/>
        </w:rPr>
        <w:t xml:space="preserve">🔑 </w:t>
      </w:r>
      <w:r w:rsidDel="00000000" w:rsidR="00000000" w:rsidRPr="00000000">
        <w:rPr>
          <w:rFonts w:ascii="DM Sans" w:cs="DM Sans" w:eastAsia="DM Sans" w:hAnsi="DM Sans"/>
          <w:b w:val="1"/>
          <w:color w:val="000000"/>
          <w:sz w:val="24"/>
          <w:szCs w:val="24"/>
          <w:rtl w:val="0"/>
        </w:rPr>
        <w:t xml:space="preserve">Smarter, Safer Authentication with Modern Methods</w:t>
      </w:r>
    </w:p>
    <w:p w:rsidR="00000000" w:rsidDel="00000000" w:rsidP="00000000" w:rsidRDefault="00000000" w:rsidRPr="00000000" w14:paraId="00000008">
      <w:pPr>
        <w:numPr>
          <w:ilvl w:val="0"/>
          <w:numId w:val="5"/>
        </w:numPr>
        <w:spacing w:after="0" w:afterAutospacing="0" w:before="240" w:line="276" w:lineRule="auto"/>
        <w:ind w:left="720" w:hanging="360"/>
        <w:rPr/>
      </w:pPr>
      <w:r w:rsidDel="00000000" w:rsidR="00000000" w:rsidRPr="00000000">
        <w:rPr>
          <w:rtl w:val="0"/>
        </w:rPr>
        <w:t xml:space="preserve">Support for biometric authentication methods like</w:t>
      </w:r>
      <w:r w:rsidDel="00000000" w:rsidR="00000000" w:rsidRPr="00000000">
        <w:rPr>
          <w:rtl w:val="0"/>
        </w:rPr>
        <w:t xml:space="preserve"> Face ID and Touch ID, as well as BankID, </w:t>
      </w:r>
      <w:r w:rsidDel="00000000" w:rsidR="00000000" w:rsidRPr="00000000">
        <w:rPr>
          <w:rtl w:val="0"/>
        </w:rPr>
        <w:t xml:space="preserve">offers users a more secure and streamlined way to log in. Please note that this functionality is not yet available in Flex HRM, but we plan to have it in place during 2026.</w:t>
      </w:r>
    </w:p>
    <w:p w:rsidR="00000000" w:rsidDel="00000000" w:rsidP="00000000" w:rsidRDefault="00000000" w:rsidRPr="00000000" w14:paraId="00000009">
      <w:pPr>
        <w:numPr>
          <w:ilvl w:val="0"/>
          <w:numId w:val="5"/>
        </w:numPr>
        <w:spacing w:after="240" w:before="0" w:beforeAutospacing="0" w:line="276" w:lineRule="auto"/>
        <w:ind w:left="720" w:hanging="360"/>
        <w:rPr/>
      </w:pPr>
      <w:r w:rsidDel="00000000" w:rsidR="00000000" w:rsidRPr="00000000">
        <w:rPr>
          <w:rtl w:val="0"/>
        </w:rPr>
        <w:t xml:space="preserve">By removing the need for manually entered passwords, the risk of credential theft and phishing attacks is significantly reduced.</w:t>
      </w:r>
    </w:p>
    <w:p w:rsidR="00000000" w:rsidDel="00000000" w:rsidP="00000000" w:rsidRDefault="00000000" w:rsidRPr="00000000" w14:paraId="0000000A">
      <w:pPr>
        <w:pStyle w:val="Heading3"/>
        <w:keepNext w:val="0"/>
        <w:spacing w:after="80" w:before="280" w:line="276" w:lineRule="auto"/>
        <w:ind w:right="1450.8661417322844"/>
        <w:rPr>
          <w:rFonts w:ascii="DM Sans" w:cs="DM Sans" w:eastAsia="DM Sans" w:hAnsi="DM Sans"/>
          <w:b w:val="1"/>
          <w:color w:val="000000"/>
          <w:sz w:val="24"/>
          <w:szCs w:val="24"/>
        </w:rPr>
      </w:pPr>
      <w:bookmarkStart w:colFirst="0" w:colLast="0" w:name="_nq6ilczduvhf" w:id="3"/>
      <w:bookmarkEnd w:id="3"/>
      <w:r w:rsidDel="00000000" w:rsidR="00000000" w:rsidRPr="00000000">
        <w:rPr>
          <w:rFonts w:ascii="DM Sans" w:cs="DM Sans" w:eastAsia="DM Sans" w:hAnsi="DM Sans"/>
          <w:b w:val="1"/>
          <w:color w:val="000000"/>
          <w:sz w:val="26"/>
          <w:szCs w:val="26"/>
          <w:rtl w:val="0"/>
        </w:rPr>
        <w:t xml:space="preserve">🛠️ </w:t>
      </w:r>
      <w:r w:rsidDel="00000000" w:rsidR="00000000" w:rsidRPr="00000000">
        <w:rPr>
          <w:rFonts w:ascii="DM Sans" w:cs="DM Sans" w:eastAsia="DM Sans" w:hAnsi="DM Sans"/>
          <w:b w:val="1"/>
          <w:color w:val="000000"/>
          <w:sz w:val="24"/>
          <w:szCs w:val="24"/>
          <w:rtl w:val="0"/>
        </w:rPr>
        <w:t xml:space="preserve">Fewer Login Issues and Reduced Support Tickets</w:t>
      </w:r>
    </w:p>
    <w:p w:rsidR="00000000" w:rsidDel="00000000" w:rsidP="00000000" w:rsidRDefault="00000000" w:rsidRPr="00000000" w14:paraId="0000000B">
      <w:pPr>
        <w:numPr>
          <w:ilvl w:val="0"/>
          <w:numId w:val="4"/>
        </w:numPr>
        <w:spacing w:after="0" w:afterAutospacing="0" w:before="240" w:line="276" w:lineRule="auto"/>
        <w:ind w:left="720" w:hanging="360"/>
        <w:rPr/>
      </w:pPr>
      <w:r w:rsidDel="00000000" w:rsidR="00000000" w:rsidRPr="00000000">
        <w:rPr>
          <w:rtl w:val="0"/>
        </w:rPr>
        <w:t xml:space="preserve">Biometric login and BankID eliminate common password problems.</w:t>
      </w:r>
    </w:p>
    <w:p w:rsidR="00000000" w:rsidDel="00000000" w:rsidP="00000000" w:rsidRDefault="00000000" w:rsidRPr="00000000" w14:paraId="0000000C">
      <w:pPr>
        <w:numPr>
          <w:ilvl w:val="0"/>
          <w:numId w:val="4"/>
        </w:numPr>
        <w:spacing w:after="240" w:before="0" w:beforeAutospacing="0" w:line="276" w:lineRule="auto"/>
        <w:ind w:left="720" w:hanging="360"/>
        <w:rPr/>
      </w:pPr>
      <w:r w:rsidDel="00000000" w:rsidR="00000000" w:rsidRPr="00000000">
        <w:rPr>
          <w:rtl w:val="0"/>
        </w:rPr>
        <w:t xml:space="preserve">Fewer forgotten passwords mean less user frustration and a lower volume of support requests – saving time and resources for your organization.</w:t>
      </w:r>
    </w:p>
    <w:p w:rsidR="00000000" w:rsidDel="00000000" w:rsidP="00000000" w:rsidRDefault="00000000" w:rsidRPr="00000000" w14:paraId="0000000D">
      <w:pPr>
        <w:pStyle w:val="Heading3"/>
        <w:keepNext w:val="0"/>
        <w:spacing w:after="80" w:before="280" w:line="276" w:lineRule="auto"/>
        <w:ind w:right="1450.8661417322844"/>
        <w:rPr>
          <w:rFonts w:ascii="DM Sans" w:cs="DM Sans" w:eastAsia="DM Sans" w:hAnsi="DM Sans"/>
          <w:b w:val="1"/>
          <w:color w:val="000000"/>
          <w:sz w:val="24"/>
          <w:szCs w:val="24"/>
        </w:rPr>
      </w:pPr>
      <w:bookmarkStart w:colFirst="0" w:colLast="0" w:name="_us618c4q938" w:id="4"/>
      <w:bookmarkEnd w:id="4"/>
      <w:r w:rsidDel="00000000" w:rsidR="00000000" w:rsidRPr="00000000">
        <w:rPr>
          <w:rFonts w:ascii="DM Sans" w:cs="DM Sans" w:eastAsia="DM Sans" w:hAnsi="DM Sans"/>
          <w:b w:val="1"/>
          <w:color w:val="000000"/>
          <w:sz w:val="26"/>
          <w:szCs w:val="26"/>
          <w:rtl w:val="0"/>
        </w:rPr>
        <w:t xml:space="preserve">⚡ </w:t>
      </w:r>
      <w:r w:rsidDel="00000000" w:rsidR="00000000" w:rsidRPr="00000000">
        <w:rPr>
          <w:rFonts w:ascii="DM Sans" w:cs="DM Sans" w:eastAsia="DM Sans" w:hAnsi="DM Sans"/>
          <w:b w:val="1"/>
          <w:color w:val="000000"/>
          <w:sz w:val="24"/>
          <w:szCs w:val="24"/>
          <w:rtl w:val="0"/>
        </w:rPr>
        <w:t xml:space="preserve">One Login Across Multiple Systems</w:t>
      </w:r>
    </w:p>
    <w:p w:rsidR="00000000" w:rsidDel="00000000" w:rsidP="00000000" w:rsidRDefault="00000000" w:rsidRPr="00000000" w14:paraId="0000000E">
      <w:pPr>
        <w:numPr>
          <w:ilvl w:val="0"/>
          <w:numId w:val="2"/>
        </w:numPr>
        <w:spacing w:after="0" w:afterAutospacing="0" w:before="240" w:line="276" w:lineRule="auto"/>
        <w:ind w:left="720" w:hanging="360"/>
        <w:rPr/>
      </w:pPr>
      <w:r w:rsidDel="00000000" w:rsidR="00000000" w:rsidRPr="00000000">
        <w:rPr>
          <w:rtl w:val="0"/>
        </w:rPr>
        <w:t xml:space="preserve">If you're using several Visma services, login becomes seamless across the entire ecosystem. Users no longer need to manage separate credentials for different Visma products.</w:t>
      </w:r>
    </w:p>
    <w:p w:rsidR="00000000" w:rsidDel="00000000" w:rsidP="00000000" w:rsidRDefault="00000000" w:rsidRPr="00000000" w14:paraId="0000000F">
      <w:pPr>
        <w:numPr>
          <w:ilvl w:val="0"/>
          <w:numId w:val="2"/>
        </w:numPr>
        <w:spacing w:after="240" w:before="0" w:beforeAutospacing="0" w:line="276" w:lineRule="auto"/>
        <w:ind w:left="720" w:hanging="360"/>
        <w:rPr/>
      </w:pPr>
      <w:r w:rsidDel="00000000" w:rsidR="00000000" w:rsidRPr="00000000">
        <w:rPr>
          <w:rtl w:val="0"/>
        </w:rPr>
        <w:t xml:space="preserve">And if you're only using a single Visma solution today, Visma Connect ensures you're future-ready – new integrations can be added without additional setup.</w:t>
      </w:r>
    </w:p>
    <w:p w:rsidR="00000000" w:rsidDel="00000000" w:rsidP="00000000" w:rsidRDefault="00000000" w:rsidRPr="00000000" w14:paraId="00000010">
      <w:pPr>
        <w:pStyle w:val="Heading1"/>
        <w:ind w:right="883.937007874016"/>
        <w:rPr>
          <w:rFonts w:ascii="DM Sans" w:cs="DM Sans" w:eastAsia="DM Sans" w:hAnsi="DM Sans"/>
          <w:b w:val="1"/>
          <w:sz w:val="48"/>
          <w:szCs w:val="48"/>
        </w:rPr>
      </w:pPr>
      <w:bookmarkStart w:colFirst="0" w:colLast="0" w:name="_6kx5eqf8ayx5" w:id="5"/>
      <w:bookmarkEnd w:id="5"/>
      <w:r w:rsidDel="00000000" w:rsidR="00000000" w:rsidRPr="00000000">
        <w:rPr>
          <w:sz w:val="50"/>
          <w:szCs w:val="50"/>
          <w:rtl w:val="0"/>
        </w:rPr>
        <w:t xml:space="preserve">How the Transition Works </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To ensure a smooth and secure transition to Visma Connect, the switch takes place in two phases: preparation and activation.</w:t>
        <w:br w:type="textWrapping"/>
      </w:r>
    </w:p>
    <w:p w:rsidR="00000000" w:rsidDel="00000000" w:rsidP="00000000" w:rsidRDefault="00000000" w:rsidRPr="00000000" w14:paraId="00000012">
      <w:pPr>
        <w:pStyle w:val="Heading3"/>
        <w:keepNext w:val="0"/>
        <w:spacing w:after="80" w:before="280" w:lineRule="auto"/>
        <w:rPr>
          <w:rFonts w:ascii="DM Sans" w:cs="DM Sans" w:eastAsia="DM Sans" w:hAnsi="DM Sans"/>
          <w:b w:val="1"/>
          <w:color w:val="000000"/>
          <w:sz w:val="26"/>
          <w:szCs w:val="26"/>
        </w:rPr>
      </w:pPr>
      <w:bookmarkStart w:colFirst="0" w:colLast="0" w:name="_n5az798wkbkb" w:id="6"/>
      <w:bookmarkEnd w:id="6"/>
      <w:r w:rsidDel="00000000" w:rsidR="00000000" w:rsidRPr="00000000">
        <w:rPr>
          <w:rFonts w:ascii="DM Sans" w:cs="DM Sans" w:eastAsia="DM Sans" w:hAnsi="DM Sans"/>
          <w:b w:val="1"/>
          <w:color w:val="000000"/>
          <w:sz w:val="26"/>
          <w:szCs w:val="26"/>
          <w:rtl w:val="0"/>
        </w:rPr>
        <w:t xml:space="preserve">1. Preparation – User Provisioning</w:t>
      </w:r>
    </w:p>
    <w:p w:rsidR="00000000" w:rsidDel="00000000" w:rsidP="00000000" w:rsidRDefault="00000000" w:rsidRPr="00000000" w14:paraId="00000013">
      <w:pPr>
        <w:spacing w:after="240" w:before="240" w:lineRule="auto"/>
        <w:rPr/>
      </w:pPr>
      <w:r w:rsidDel="00000000" w:rsidR="00000000" w:rsidRPr="00000000">
        <w:rPr>
          <w:rtl w:val="0"/>
        </w:rPr>
        <w:t xml:space="preserve">Before Visma Connect becomes the active login method, all users need to be provisioned in the system. This means:</w:t>
      </w:r>
    </w:p>
    <w:p w:rsidR="00000000" w:rsidDel="00000000" w:rsidP="00000000" w:rsidRDefault="00000000" w:rsidRPr="00000000" w14:paraId="00000014">
      <w:pPr>
        <w:spacing w:after="240" w:before="240" w:lineRule="auto"/>
        <w:rPr/>
      </w:pPr>
      <w:r w:rsidDel="00000000" w:rsidR="00000000" w:rsidRPr="00000000">
        <w:rPr>
          <w:rtl w:val="0"/>
        </w:rPr>
        <w:t xml:space="preserve">✅Users verify their email address.</w:t>
        <w:br w:type="textWrapping"/>
        <w:t xml:space="preserve">✅Visma Connect accounts are automatically created and linked to existing HRM users.</w:t>
        <w:br w:type="textWrapping"/>
        <w:t xml:space="preserve">✅Users can set a password for their Visma Connect account.</w:t>
      </w:r>
    </w:p>
    <w:p w:rsidR="00000000" w:rsidDel="00000000" w:rsidP="00000000" w:rsidRDefault="00000000" w:rsidRPr="00000000" w14:paraId="00000015">
      <w:pPr>
        <w:spacing w:after="240" w:before="240" w:lineRule="auto"/>
        <w:rPr/>
      </w:pPr>
      <w:r w:rsidDel="00000000" w:rsidR="00000000" w:rsidRPr="00000000">
        <w:rPr>
          <w:rtl w:val="0"/>
        </w:rPr>
        <w:t xml:space="preserve">This step does not affect the current login process.</w:t>
      </w:r>
    </w:p>
    <w:p w:rsidR="00000000" w:rsidDel="00000000" w:rsidP="00000000" w:rsidRDefault="00000000" w:rsidRPr="00000000" w14:paraId="00000016">
      <w:pPr>
        <w:pStyle w:val="Heading3"/>
        <w:keepNext w:val="0"/>
        <w:spacing w:after="80" w:before="280" w:lineRule="auto"/>
        <w:rPr>
          <w:rFonts w:ascii="DM Sans" w:cs="DM Sans" w:eastAsia="DM Sans" w:hAnsi="DM Sans"/>
          <w:b w:val="1"/>
          <w:color w:val="000000"/>
          <w:sz w:val="26"/>
          <w:szCs w:val="26"/>
        </w:rPr>
      </w:pPr>
      <w:bookmarkStart w:colFirst="0" w:colLast="0" w:name="_enj9veiqllrr" w:id="7"/>
      <w:bookmarkEnd w:id="7"/>
      <w:r w:rsidDel="00000000" w:rsidR="00000000" w:rsidRPr="00000000">
        <w:rPr>
          <w:rFonts w:ascii="DM Sans" w:cs="DM Sans" w:eastAsia="DM Sans" w:hAnsi="DM Sans"/>
          <w:b w:val="1"/>
          <w:color w:val="000000"/>
          <w:sz w:val="26"/>
          <w:szCs w:val="26"/>
          <w:rtl w:val="0"/>
        </w:rPr>
        <w:t xml:space="preserve">2. Transition – Activating Visma Connect</w:t>
      </w:r>
    </w:p>
    <w:p w:rsidR="00000000" w:rsidDel="00000000" w:rsidP="00000000" w:rsidRDefault="00000000" w:rsidRPr="00000000" w14:paraId="00000017">
      <w:pPr>
        <w:spacing w:after="240" w:before="240" w:lineRule="auto"/>
        <w:rPr/>
      </w:pPr>
      <w:r w:rsidDel="00000000" w:rsidR="00000000" w:rsidRPr="00000000">
        <w:rPr>
          <w:rtl w:val="0"/>
        </w:rPr>
        <w:t xml:space="preserve">Once everything is set up, Visma Connect will be activated as the new login solution. From this point on, users will sign in using Visma Connect instead of the previous method.</w:t>
      </w:r>
    </w:p>
    <w:p w:rsidR="00000000" w:rsidDel="00000000" w:rsidP="00000000" w:rsidRDefault="00000000" w:rsidRPr="00000000" w14:paraId="00000018">
      <w:pPr>
        <w:pStyle w:val="Heading4"/>
        <w:keepNext w:val="0"/>
        <w:spacing w:after="40" w:before="240" w:lineRule="auto"/>
        <w:rPr>
          <w:rFonts w:ascii="DM Sans" w:cs="DM Sans" w:eastAsia="DM Sans" w:hAnsi="DM Sans"/>
          <w:b w:val="1"/>
          <w:color w:val="000000"/>
          <w:sz w:val="24"/>
          <w:szCs w:val="24"/>
        </w:rPr>
      </w:pPr>
      <w:bookmarkStart w:colFirst="0" w:colLast="0" w:name="_ysxychtzt5do" w:id="8"/>
      <w:bookmarkEnd w:id="8"/>
      <w:r w:rsidDel="00000000" w:rsidR="00000000" w:rsidRPr="00000000">
        <w:rPr>
          <w:rFonts w:ascii="DM Sans" w:cs="DM Sans" w:eastAsia="DM Sans" w:hAnsi="DM Sans"/>
          <w:b w:val="1"/>
          <w:color w:val="000000"/>
          <w:sz w:val="24"/>
          <w:szCs w:val="24"/>
          <w:rtl w:val="0"/>
        </w:rPr>
        <w:t xml:space="preserve">What does this mean for users?</w:t>
      </w:r>
    </w:p>
    <w:p w:rsidR="00000000" w:rsidDel="00000000" w:rsidP="00000000" w:rsidRDefault="00000000" w:rsidRPr="00000000" w14:paraId="00000019">
      <w:pPr>
        <w:numPr>
          <w:ilvl w:val="0"/>
          <w:numId w:val="3"/>
        </w:numPr>
        <w:spacing w:after="0" w:afterAutospacing="0" w:before="240" w:lineRule="auto"/>
        <w:ind w:left="720" w:hanging="360"/>
      </w:pPr>
      <w:r w:rsidDel="00000000" w:rsidR="00000000" w:rsidRPr="00000000">
        <w:rPr>
          <w:rtl w:val="0"/>
        </w:rPr>
        <w:t xml:space="preserve">The login screen will have a new look and feel.</w:t>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tl w:val="0"/>
        </w:rPr>
        <w:t xml:space="preserve">Users must log in with the email address they verified during the provisioning phase.</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rtl w:val="0"/>
        </w:rPr>
        <w:t xml:space="preserve">If a user hasn’t set a password before activation, they can do so the first time they log in by clicking </w:t>
      </w:r>
      <w:r w:rsidDel="00000000" w:rsidR="00000000" w:rsidRPr="00000000">
        <w:rPr>
          <w:b w:val="1"/>
          <w:rtl w:val="0"/>
        </w:rPr>
        <w:t xml:space="preserve">“Forgot your password?”</w:t>
      </w:r>
    </w:p>
    <w:p w:rsidR="00000000" w:rsidDel="00000000" w:rsidP="00000000" w:rsidRDefault="00000000" w:rsidRPr="00000000" w14:paraId="0000001C">
      <w:pPr>
        <w:numPr>
          <w:ilvl w:val="0"/>
          <w:numId w:val="3"/>
        </w:numPr>
        <w:spacing w:after="240" w:before="0" w:beforeAutospacing="0" w:lineRule="auto"/>
        <w:ind w:left="720" w:hanging="360"/>
      </w:pPr>
      <w:r w:rsidDel="00000000" w:rsidR="00000000" w:rsidRPr="00000000">
        <w:rPr>
          <w:rtl w:val="0"/>
        </w:rPr>
        <w:t xml:space="preserve">Users who did not complete the provisioning step during the preparation phase will be unable to log in once the transition is complete</w:t>
        <w:br w:type="textWrapping"/>
      </w:r>
    </w:p>
    <w:p w:rsidR="00000000" w:rsidDel="00000000" w:rsidP="00000000" w:rsidRDefault="00000000" w:rsidRPr="00000000" w14:paraId="0000001D">
      <w:pPr>
        <w:spacing w:after="240" w:before="240" w:lineRule="auto"/>
        <w:rPr/>
      </w:pPr>
      <w:r w:rsidDel="00000000" w:rsidR="00000000" w:rsidRPr="00000000">
        <w:rPr>
          <w:rtl w:val="0"/>
        </w:rPr>
        <w:t xml:space="preserve">After the transition, Visma Connect becomes the default login for Flex HRM, and the old login method will no longer be available.</w:t>
      </w:r>
    </w:p>
    <w:p w:rsidR="00000000" w:rsidDel="00000000" w:rsidP="00000000" w:rsidRDefault="00000000" w:rsidRPr="00000000" w14:paraId="0000001E">
      <w:pPr>
        <w:pStyle w:val="Heading3"/>
        <w:keepNext w:val="0"/>
        <w:spacing w:after="80" w:before="280" w:lineRule="auto"/>
        <w:ind w:left="0" w:firstLine="0"/>
        <w:rPr>
          <w:rFonts w:ascii="DM Sans" w:cs="DM Sans" w:eastAsia="DM Sans" w:hAnsi="DM Sans"/>
          <w:b w:val="1"/>
          <w:color w:val="000000"/>
          <w:sz w:val="26"/>
          <w:szCs w:val="26"/>
        </w:rPr>
      </w:pPr>
      <w:bookmarkStart w:colFirst="0" w:colLast="0" w:name="_9dn7amzdpjy" w:id="9"/>
      <w:bookmarkEnd w:id="9"/>
      <w:r w:rsidDel="00000000" w:rsidR="00000000" w:rsidRPr="00000000">
        <w:rPr>
          <w:rFonts w:ascii="DM Sans" w:cs="DM Sans" w:eastAsia="DM Sans" w:hAnsi="DM Sans"/>
          <w:b w:val="1"/>
          <w:color w:val="000000"/>
          <w:sz w:val="26"/>
          <w:szCs w:val="26"/>
          <w:rtl w:val="0"/>
        </w:rPr>
        <w:t xml:space="preserve">What does this mean for you as an administrator?</w:t>
      </w:r>
    </w:p>
    <w:p w:rsidR="00000000" w:rsidDel="00000000" w:rsidP="00000000" w:rsidRDefault="00000000" w:rsidRPr="00000000" w14:paraId="0000001F">
      <w:pPr>
        <w:numPr>
          <w:ilvl w:val="0"/>
          <w:numId w:val="1"/>
        </w:numPr>
        <w:spacing w:after="0" w:afterAutospacing="0" w:before="240" w:lineRule="auto"/>
        <w:ind w:left="720" w:hanging="360"/>
      </w:pPr>
      <w:r w:rsidDel="00000000" w:rsidR="00000000" w:rsidRPr="00000000">
        <w:rPr>
          <w:rtl w:val="0"/>
        </w:rPr>
        <w:t xml:space="preserve">In most cases, users provision themselves – no action is required from you.</w:t>
      </w:r>
    </w:p>
    <w:p w:rsidR="00000000" w:rsidDel="00000000" w:rsidP="00000000" w:rsidRDefault="00000000" w:rsidRPr="00000000" w14:paraId="00000020">
      <w:pPr>
        <w:numPr>
          <w:ilvl w:val="0"/>
          <w:numId w:val="1"/>
        </w:numPr>
        <w:spacing w:after="240" w:before="0" w:beforeAutospacing="0" w:lineRule="auto"/>
        <w:ind w:left="720" w:hanging="360"/>
      </w:pPr>
      <w:r w:rsidDel="00000000" w:rsidR="00000000" w:rsidRPr="00000000">
        <w:rPr>
          <w:rtl w:val="0"/>
        </w:rPr>
        <w:t xml:space="preserve">If a user was absent or unable to complete their own provisioning during the preparation phase, </w:t>
      </w:r>
      <w:r w:rsidDel="00000000" w:rsidR="00000000" w:rsidRPr="00000000">
        <w:rPr>
          <w:rtl w:val="0"/>
        </w:rPr>
        <w:t xml:space="preserve">you can provision them manually after the </w:t>
      </w:r>
      <w:r w:rsidDel="00000000" w:rsidR="00000000" w:rsidRPr="00000000">
        <w:rPr>
          <w:rtl w:val="0"/>
        </w:rPr>
        <w:t xml:space="preserve">transition.</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397" w:top="454" w:left="1134" w:right="397" w:header="283.46456692913387"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DM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M Sa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DM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after="0" w:before="240" w:lineRule="auto"/>
      <w:rPr>
        <w:rFonts w:ascii="Calibri" w:cs="Calibri" w:eastAsia="Calibri" w:hAnsi="Calibri"/>
        <w:sz w:val="16"/>
        <w:szCs w:val="16"/>
      </w:rPr>
    </w:pPr>
    <w:r w:rsidDel="00000000" w:rsidR="00000000" w:rsidRPr="00000000">
      <w:rPr>
        <w:rtl w:val="0"/>
      </w:rPr>
    </w:r>
  </w:p>
  <w:tbl>
    <w:tblPr>
      <w:tblStyle w:val="Table1"/>
      <w:tblW w:w="9555.0" w:type="dxa"/>
      <w:jc w:val="left"/>
      <w:tblInd w:w="-419.00000000000006" w:type="dxa"/>
      <w:tblLayout w:type="fixed"/>
      <w:tblLook w:val="0000"/>
    </w:tblPr>
    <w:tblGrid>
      <w:gridCol w:w="2595"/>
      <w:gridCol w:w="3480"/>
      <w:gridCol w:w="3480"/>
      <w:tblGridChange w:id="0">
        <w:tblGrid>
          <w:gridCol w:w="2595"/>
          <w:gridCol w:w="3480"/>
          <w:gridCol w:w="3480"/>
        </w:tblGrid>
      </w:tblGridChange>
    </w:tblGrid>
    <w:tr>
      <w:trPr>
        <w:cantSplit w:val="1"/>
        <w:trHeight w:val="403.32" w:hRule="atLeast"/>
        <w:tblHeader w:val="0"/>
      </w:trPr>
      <w:tc>
        <w:tcPr>
          <w:tcBorders>
            <w:bottom w:color="002a3a" w:space="0" w:sz="4" w:val="single"/>
          </w:tcBorders>
          <w:tcMar>
            <w:bottom w:w="57.0" w:type="dxa"/>
          </w:tcMar>
          <w:vAlign w:val="bottom"/>
        </w:tcPr>
        <w:p w:rsidR="00000000" w:rsidDel="00000000" w:rsidP="00000000" w:rsidRDefault="00000000" w:rsidRPr="00000000" w14:paraId="00000023">
          <w:pPr>
            <w:spacing w:after="0" w:lineRule="auto"/>
            <w:rPr>
              <w:color w:val="002a3a"/>
              <w:sz w:val="16"/>
              <w:szCs w:val="16"/>
            </w:rPr>
          </w:pPr>
          <w:r w:rsidDel="00000000" w:rsidR="00000000" w:rsidRPr="00000000">
            <w:rPr>
              <w:color w:val="002a3a"/>
              <w:sz w:val="16"/>
              <w:szCs w:val="16"/>
              <w:rtl w:val="0"/>
            </w:rPr>
            <w:t xml:space="preserve">Flex Applications AB</w:t>
          </w:r>
        </w:p>
      </w:tc>
      <w:tc>
        <w:tcPr>
          <w:tcBorders>
            <w:bottom w:color="002a3a" w:space="0" w:sz="4" w:val="single"/>
          </w:tcBorders>
          <w:tcMar>
            <w:bottom w:w="57.0" w:type="dxa"/>
          </w:tcMar>
          <w:vAlign w:val="bottom"/>
        </w:tcPr>
        <w:p w:rsidR="00000000" w:rsidDel="00000000" w:rsidP="00000000" w:rsidRDefault="00000000" w:rsidRPr="00000000" w14:paraId="00000024">
          <w:pPr>
            <w:rPr>
              <w:color w:val="808080"/>
              <w:sz w:val="16"/>
              <w:szCs w:val="16"/>
            </w:rPr>
          </w:pPr>
          <w:r w:rsidDel="00000000" w:rsidR="00000000" w:rsidRPr="00000000">
            <w:rPr>
              <w:rtl w:val="0"/>
            </w:rPr>
          </w:r>
        </w:p>
      </w:tc>
      <w:tc>
        <w:tcPr>
          <w:tcBorders>
            <w:bottom w:color="002a3a" w:space="0" w:sz="4" w:val="single"/>
          </w:tcBorders>
          <w:tcMar>
            <w:bottom w:w="57.0" w:type="dxa"/>
          </w:tcMar>
          <w:vAlign w:val="bottom"/>
        </w:tcPr>
        <w:p w:rsidR="00000000" w:rsidDel="00000000" w:rsidP="00000000" w:rsidRDefault="00000000" w:rsidRPr="00000000" w14:paraId="00000025">
          <w:pPr>
            <w:rPr>
              <w:color w:val="808080"/>
              <w:sz w:val="16"/>
              <w:szCs w:val="16"/>
            </w:rPr>
          </w:pPr>
          <w:r w:rsidDel="00000000" w:rsidR="00000000" w:rsidRPr="00000000">
            <w:rPr>
              <w:rtl w:val="0"/>
            </w:rPr>
          </w:r>
        </w:p>
      </w:tc>
    </w:tr>
    <w:tr>
      <w:trPr>
        <w:cantSplit w:val="1"/>
        <w:trHeight w:val="461.63999999999993" w:hRule="atLeast"/>
        <w:tblHeader w:val="0"/>
      </w:trPr>
      <w:tc>
        <w:tcPr>
          <w:tcBorders>
            <w:top w:color="002a3a" w:space="0" w:sz="4" w:val="single"/>
          </w:tcBorders>
          <w:tcMar>
            <w:top w:w="57.0" w:type="dxa"/>
          </w:tcMar>
          <w:vAlign w:val="bottom"/>
        </w:tcPr>
        <w:p w:rsidR="00000000" w:rsidDel="00000000" w:rsidP="00000000" w:rsidRDefault="00000000" w:rsidRPr="00000000" w14:paraId="00000026">
          <w:pPr>
            <w:spacing w:after="0" w:lineRule="auto"/>
            <w:rPr>
              <w:color w:val="808080"/>
              <w:sz w:val="16"/>
              <w:szCs w:val="16"/>
            </w:rPr>
          </w:pPr>
          <w:r w:rsidDel="00000000" w:rsidR="00000000" w:rsidRPr="00000000">
            <w:rPr>
              <w:color w:val="808080"/>
              <w:sz w:val="16"/>
              <w:szCs w:val="16"/>
              <w:rtl w:val="0"/>
            </w:rPr>
            <w:t xml:space="preserve">info@flexapplications.se</w:t>
          </w:r>
        </w:p>
        <w:p w:rsidR="00000000" w:rsidDel="00000000" w:rsidP="00000000" w:rsidRDefault="00000000" w:rsidRPr="00000000" w14:paraId="00000027">
          <w:pPr>
            <w:spacing w:after="0" w:lineRule="auto"/>
            <w:rPr>
              <w:color w:val="808080"/>
              <w:sz w:val="16"/>
              <w:szCs w:val="16"/>
            </w:rPr>
          </w:pPr>
          <w:r w:rsidDel="00000000" w:rsidR="00000000" w:rsidRPr="00000000">
            <w:rPr>
              <w:rtl w:val="0"/>
            </w:rPr>
          </w:r>
        </w:p>
      </w:tc>
      <w:tc>
        <w:tcPr>
          <w:tcBorders>
            <w:top w:color="002a3a" w:space="0" w:sz="4" w:val="single"/>
          </w:tcBorders>
          <w:tcMar>
            <w:top w:w="57.0" w:type="dxa"/>
          </w:tcMar>
          <w:vAlign w:val="bottom"/>
        </w:tcPr>
        <w:p w:rsidR="00000000" w:rsidDel="00000000" w:rsidP="00000000" w:rsidRDefault="00000000" w:rsidRPr="00000000" w14:paraId="00000028">
          <w:pPr>
            <w:spacing w:after="0" w:lineRule="auto"/>
            <w:rPr>
              <w:color w:val="808080"/>
              <w:sz w:val="16"/>
              <w:szCs w:val="16"/>
            </w:rPr>
          </w:pPr>
          <w:r w:rsidDel="00000000" w:rsidR="00000000" w:rsidRPr="00000000">
            <w:rPr>
              <w:color w:val="808080"/>
              <w:sz w:val="16"/>
              <w:szCs w:val="16"/>
              <w:rtl w:val="0"/>
            </w:rPr>
            <w:t xml:space="preserve">www.flexapplications.se</w:t>
          </w:r>
        </w:p>
        <w:p w:rsidR="00000000" w:rsidDel="00000000" w:rsidP="00000000" w:rsidRDefault="00000000" w:rsidRPr="00000000" w14:paraId="00000029">
          <w:pPr>
            <w:spacing w:after="0" w:lineRule="auto"/>
            <w:rPr>
              <w:color w:val="808080"/>
              <w:sz w:val="16"/>
              <w:szCs w:val="16"/>
            </w:rPr>
          </w:pPr>
          <w:r w:rsidDel="00000000" w:rsidR="00000000" w:rsidRPr="00000000">
            <w:rPr>
              <w:rtl w:val="0"/>
            </w:rPr>
          </w:r>
        </w:p>
      </w:tc>
      <w:tc>
        <w:tcPr>
          <w:tcBorders>
            <w:top w:color="002a3a" w:space="0" w:sz="4" w:val="single"/>
          </w:tcBorders>
          <w:tcMar>
            <w:top w:w="57.0" w:type="dxa"/>
          </w:tcMar>
          <w:vAlign w:val="bottom"/>
        </w:tcPr>
        <w:p w:rsidR="00000000" w:rsidDel="00000000" w:rsidP="00000000" w:rsidRDefault="00000000" w:rsidRPr="00000000" w14:paraId="0000002A">
          <w:pPr>
            <w:spacing w:after="0" w:lineRule="auto"/>
            <w:rPr>
              <w:color w:val="808080"/>
              <w:sz w:val="16"/>
              <w:szCs w:val="16"/>
            </w:rPr>
          </w:pPr>
          <w:r w:rsidDel="00000000" w:rsidR="00000000" w:rsidRPr="00000000">
            <w:rPr>
              <w:color w:val="808080"/>
              <w:sz w:val="16"/>
              <w:szCs w:val="16"/>
              <w:rtl w:val="0"/>
            </w:rPr>
            <w:t xml:space="preserve">Org.nr 556616-1948</w:t>
          </w:r>
        </w:p>
        <w:p w:rsidR="00000000" w:rsidDel="00000000" w:rsidP="00000000" w:rsidRDefault="00000000" w:rsidRPr="00000000" w14:paraId="0000002B">
          <w:pPr>
            <w:spacing w:after="0" w:lineRule="auto"/>
            <w:rPr>
              <w:color w:val="808080"/>
              <w:sz w:val="16"/>
              <w:szCs w:val="16"/>
            </w:rPr>
          </w:pPr>
          <w:r w:rsidDel="00000000" w:rsidR="00000000" w:rsidRPr="00000000">
            <w:rPr>
              <w:rtl w:val="0"/>
            </w:rPr>
          </w:r>
        </w:p>
      </w:tc>
    </w:tr>
  </w:tbl>
  <w:p w:rsidR="00000000" w:rsidDel="00000000" w:rsidP="00000000" w:rsidRDefault="00000000" w:rsidRPr="00000000" w14:paraId="0000002C">
    <w:pPr>
      <w:spacing w:after="0" w:lineRule="auto"/>
      <w:rPr>
        <w:rFonts w:ascii="Calibri" w:cs="Calibri" w:eastAsia="Calibri" w:hAnsi="Calibri"/>
        <w:sz w:val="6"/>
        <w:szCs w:val="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widowControl w:val="0"/>
      <w:spacing w:after="0" w:line="276" w:lineRule="auto"/>
      <w:ind w:right="883.937007874016"/>
      <w:rPr>
        <w:sz w:val="22"/>
        <w:szCs w:val="22"/>
      </w:rPr>
    </w:pPr>
    <w:r w:rsidDel="00000000" w:rsidR="00000000" w:rsidRPr="00000000">
      <w:rPr>
        <w:rtl w:val="0"/>
      </w:rPr>
    </w:r>
  </w:p>
  <w:tbl>
    <w:tblPr>
      <w:tblStyle w:val="Table2"/>
      <w:tblW w:w="9015.0" w:type="dxa"/>
      <w:jc w:val="left"/>
      <w:tblInd w:w="-12.999999999999998" w:type="dxa"/>
      <w:tblLayout w:type="fixed"/>
      <w:tblLook w:val="0000"/>
    </w:tblPr>
    <w:tblGrid>
      <w:gridCol w:w="5010"/>
      <w:gridCol w:w="4005"/>
      <w:tblGridChange w:id="0">
        <w:tblGrid>
          <w:gridCol w:w="5010"/>
          <w:gridCol w:w="4005"/>
        </w:tblGrid>
      </w:tblGridChange>
    </w:tblGrid>
    <w:tr>
      <w:trPr>
        <w:cantSplit w:val="1"/>
        <w:trHeight w:val="1236.6" w:hRule="atLeast"/>
        <w:tblHeader w:val="0"/>
      </w:trPr>
      <w:tc>
        <w:tcPr/>
        <w:p w:rsidR="00000000" w:rsidDel="00000000" w:rsidP="00000000" w:rsidRDefault="00000000" w:rsidRPr="00000000" w14:paraId="0000002F">
          <w:pPr>
            <w:spacing w:after="200" w:before="60" w:lineRule="auto"/>
            <w:ind w:right="883.937007874016"/>
            <w:rPr>
              <w:color w:val="808080"/>
              <w:sz w:val="20"/>
              <w:szCs w:val="20"/>
            </w:rPr>
          </w:pPr>
          <w:r w:rsidDel="00000000" w:rsidR="00000000" w:rsidRPr="00000000">
            <w:rPr>
              <w:color w:val="808080"/>
              <w:sz w:val="20"/>
              <w:szCs w:val="20"/>
            </w:rPr>
            <w:drawing>
              <wp:inline distB="114300" distT="114300" distL="114300" distR="114300">
                <wp:extent cx="1542733" cy="35746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2733" cy="35746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0">
          <w:pPr>
            <w:spacing w:after="0" w:before="60" w:lineRule="auto"/>
            <w:ind w:right="883.937007874016"/>
            <w:rPr>
              <w:color w:val="808080"/>
              <w:sz w:val="16"/>
              <w:szCs w:val="16"/>
            </w:rPr>
          </w:pPr>
          <w:r w:rsidDel="00000000" w:rsidR="00000000" w:rsidRPr="00000000">
            <w:rPr>
              <w:b w:val="1"/>
              <w:smallCaps w:val="1"/>
              <w:color w:val="808080"/>
              <w:sz w:val="20"/>
              <w:szCs w:val="20"/>
              <w:rtl w:val="0"/>
            </w:rPr>
            <w:br w:type="textWrapping"/>
          </w:r>
          <w:r w:rsidDel="00000000" w:rsidR="00000000" w:rsidRPr="00000000">
            <w:rPr>
              <w:b w:val="1"/>
              <w:smallCaps w:val="1"/>
              <w:color w:val="808080"/>
              <w:sz w:val="16"/>
              <w:szCs w:val="16"/>
              <w:rtl w:val="0"/>
            </w:rPr>
            <w:t xml:space="preserve">VISMA CONNECT ADMINISTRATOR INSTRUCTION</w:t>
          </w:r>
          <w:r w:rsidDel="00000000" w:rsidR="00000000" w:rsidRPr="00000000">
            <w:rPr>
              <w:rtl w:val="0"/>
            </w:rPr>
          </w:r>
        </w:p>
        <w:p w:rsidR="00000000" w:rsidDel="00000000" w:rsidP="00000000" w:rsidRDefault="00000000" w:rsidRPr="00000000" w14:paraId="00000031">
          <w:pPr>
            <w:ind w:right="883.937007874016"/>
            <w:rPr>
              <w:color w:val="808080"/>
              <w:sz w:val="20"/>
              <w:szCs w:val="20"/>
            </w:rPr>
          </w:pPr>
          <w:r w:rsidDel="00000000" w:rsidR="00000000" w:rsidRPr="00000000">
            <w:rPr>
              <w:rtl w:val="0"/>
            </w:rPr>
          </w:r>
        </w:p>
      </w:tc>
    </w:tr>
  </w:tbl>
  <w:p w:rsidR="00000000" w:rsidDel="00000000" w:rsidP="00000000" w:rsidRDefault="00000000" w:rsidRPr="00000000" w14:paraId="00000032">
    <w:pPr>
      <w:pStyle w:val="Heading1"/>
      <w:ind w:right="883.937007874016"/>
      <w:rPr/>
    </w:pPr>
    <w:bookmarkStart w:colFirst="0" w:colLast="0" w:name="_wp15jk2ps8ke" w:id="10"/>
    <w:bookmarkEnd w:id="10"/>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sz w:val="24"/>
        <w:szCs w:val="24"/>
        <w:lang w:val="sv-SE"/>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DM Sans Medium" w:cs="DM Sans Medium" w:eastAsia="DM Sans Medium" w:hAnsi="DM Sans Medium"/>
      <w:color w:val="002a3a"/>
      <w:sz w:val="40"/>
      <w:szCs w:val="40"/>
    </w:rPr>
  </w:style>
  <w:style w:type="paragraph" w:styleId="Heading2">
    <w:name w:val="heading 2"/>
    <w:basedOn w:val="Normal"/>
    <w:next w:val="Normal"/>
    <w:pPr>
      <w:keepNext w:val="1"/>
    </w:pPr>
    <w:rPr>
      <w:rFonts w:ascii="DM Sans SemiBold" w:cs="DM Sans SemiBold" w:eastAsia="DM Sans SemiBold" w:hAnsi="DM Sans SemiBold"/>
      <w:color w:val="002a3a"/>
      <w:sz w:val="34"/>
      <w:szCs w:val="34"/>
    </w:rPr>
  </w:style>
  <w:style w:type="paragraph" w:styleId="Heading3">
    <w:name w:val="heading 3"/>
    <w:basedOn w:val="Normal"/>
    <w:next w:val="Normal"/>
    <w:pPr>
      <w:keepNext w:val="1"/>
    </w:pPr>
    <w:rPr>
      <w:rFonts w:ascii="DM Sans SemiBold" w:cs="DM Sans SemiBold" w:eastAsia="DM Sans SemiBold" w:hAnsi="DM Sans SemiBold"/>
      <w:color w:val="002a3a"/>
      <w:sz w:val="30"/>
      <w:szCs w:val="30"/>
    </w:rPr>
  </w:style>
  <w:style w:type="paragraph" w:styleId="Heading4">
    <w:name w:val="heading 4"/>
    <w:basedOn w:val="Normal"/>
    <w:next w:val="Normal"/>
    <w:pPr>
      <w:keepNext w:val="1"/>
    </w:pPr>
    <w:rPr>
      <w:rFonts w:ascii="DM Sans SemiBold" w:cs="DM Sans SemiBold" w:eastAsia="DM Sans SemiBold" w:hAnsi="DM Sans SemiBold"/>
      <w:color w:val="002a3a"/>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00" w:before="200" w:lineRule="auto"/>
    </w:pPr>
    <w:rPr>
      <w:rFonts w:ascii="DM Sans Medium" w:cs="DM Sans Medium" w:eastAsia="DM Sans Medium" w:hAnsi="DM Sans Medium"/>
      <w:color w:val="002a3a"/>
      <w:sz w:val="60"/>
      <w:szCs w:val="60"/>
    </w:rPr>
  </w:style>
  <w:style w:type="paragraph" w:styleId="Subtitle">
    <w:name w:val="Subtitle"/>
    <w:basedOn w:val="Normal"/>
    <w:next w:val="Normal"/>
    <w:pPr/>
    <w:rPr>
      <w:rFonts w:ascii="DM Sans Medium" w:cs="DM Sans Medium" w:eastAsia="DM Sans Medium" w:hAnsi="DM Sans Medium"/>
      <w:color w:val="002a3a"/>
      <w:sz w:val="50"/>
      <w:szCs w:val="5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28.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DMSansMedium-regular.ttf"/><Relationship Id="rId2" Type="http://schemas.openxmlformats.org/officeDocument/2006/relationships/font" Target="fonts/DMSansMedium-bold.ttf"/><Relationship Id="rId3" Type="http://schemas.openxmlformats.org/officeDocument/2006/relationships/font" Target="fonts/DMSansMedium-italic.ttf"/><Relationship Id="rId4" Type="http://schemas.openxmlformats.org/officeDocument/2006/relationships/font" Target="fonts/DMSansMedium-boldItalic.ttf"/><Relationship Id="rId11" Type="http://schemas.openxmlformats.org/officeDocument/2006/relationships/font" Target="fonts/DMSans-italic.ttf"/><Relationship Id="rId10" Type="http://schemas.openxmlformats.org/officeDocument/2006/relationships/font" Target="fonts/DMSans-bold.ttf"/><Relationship Id="rId12" Type="http://schemas.openxmlformats.org/officeDocument/2006/relationships/font" Target="fonts/DMSans-boldItalic.ttf"/><Relationship Id="rId9" Type="http://schemas.openxmlformats.org/officeDocument/2006/relationships/font" Target="fonts/DMSans-regular.ttf"/><Relationship Id="rId5" Type="http://schemas.openxmlformats.org/officeDocument/2006/relationships/font" Target="fonts/DMSansSemiBold-regular.ttf"/><Relationship Id="rId6" Type="http://schemas.openxmlformats.org/officeDocument/2006/relationships/font" Target="fonts/DMSansSemiBold-bold.ttf"/><Relationship Id="rId7" Type="http://schemas.openxmlformats.org/officeDocument/2006/relationships/font" Target="fonts/DMSansSemiBold-italic.ttf"/><Relationship Id="rId8" Type="http://schemas.openxmlformats.org/officeDocument/2006/relationships/font" Target="fonts/DMSansSemiBol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